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EF" w:rsidRDefault="002606EF"/>
    <w:p w:rsidR="002606EF" w:rsidRDefault="002606EF">
      <w:pPr>
        <w:rPr>
          <w:rFonts w:ascii="Arial Narrow" w:hAnsi="Arial Narrow"/>
          <w:b/>
          <w:sz w:val="40"/>
          <w:szCs w:val="40"/>
        </w:rPr>
      </w:pPr>
    </w:p>
    <w:p w:rsidR="002606EF" w:rsidRDefault="003F295B">
      <w:pPr>
        <w:rPr>
          <w:rStyle w:val="Fuentedeprrafopredeter2"/>
          <w:rFonts w:ascii="Arial Narrow" w:eastAsia="Arial" w:hAnsi="Arial Narrow" w:cs="Century Gothic"/>
          <w:color w:val="000000"/>
          <w:sz w:val="32"/>
          <w:szCs w:val="32"/>
          <w:lang w:eastAsia="es-ES_tradnl"/>
        </w:rPr>
      </w:pP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El Ayuntamiento inicia la contratación de la nueva señalización turística de Jerez </w:t>
      </w:r>
    </w:p>
    <w:p w:rsidR="002606EF" w:rsidRDefault="002606EF">
      <w:pPr>
        <w:rPr>
          <w:rStyle w:val="Fuentedeprrafopredeter2"/>
          <w:rFonts w:ascii="Arial Narrow" w:hAnsi="Arial Narrow" w:cs="Century Gothic"/>
          <w:color w:val="000000"/>
          <w:sz w:val="32"/>
          <w:szCs w:val="32"/>
        </w:rPr>
      </w:pPr>
    </w:p>
    <w:p w:rsidR="002606EF" w:rsidRDefault="003F295B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14</w:t>
      </w:r>
      <w:r>
        <w:rPr>
          <w:rFonts w:ascii="Arial Narrow" w:hAnsi="Arial Narrow"/>
          <w:b/>
          <w:bCs/>
          <w:sz w:val="26"/>
          <w:szCs w:val="26"/>
        </w:rPr>
        <w:t xml:space="preserve"> de agosto de 2025</w:t>
      </w:r>
      <w:r>
        <w:rPr>
          <w:rFonts w:ascii="Arial Narrow" w:hAnsi="Arial Narrow"/>
          <w:sz w:val="26"/>
          <w:szCs w:val="26"/>
        </w:rPr>
        <w:t>. La Junta de Gobierno Local ha aprobado el inicio de la contratación de la producción, suministro e instalación de nueva señalización turística, una actuación que está enmarcada dentro de la 1ª fase del Plan Turístico de Grandes Ciudades de Jerez, subvenc</w:t>
      </w:r>
      <w:r>
        <w:rPr>
          <w:rFonts w:ascii="Arial Narrow" w:hAnsi="Arial Narrow"/>
          <w:sz w:val="26"/>
          <w:szCs w:val="26"/>
        </w:rPr>
        <w:t xml:space="preserve">ionada al 50% entre Junta de Andalucía y Ayuntamiento.  </w:t>
      </w:r>
      <w:r>
        <w:rPr>
          <w:rFonts w:ascii="Arial Narrow" w:hAnsi="Arial Narrow"/>
          <w:color w:val="000000"/>
          <w:sz w:val="26"/>
          <w:szCs w:val="26"/>
        </w:rPr>
        <w:t>El acuerdo ha incluido también los pliegos</w:t>
      </w:r>
      <w:r>
        <w:rPr>
          <w:rFonts w:ascii="Arial Narrow" w:hAnsi="Arial Narrow"/>
          <w:color w:val="000000"/>
          <w:spacing w:val="-4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de</w:t>
      </w:r>
      <w:r>
        <w:rPr>
          <w:rFonts w:ascii="Arial Narrow" w:hAnsi="Arial Narrow"/>
          <w:color w:val="000000"/>
          <w:spacing w:val="-5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Cláusulas</w:t>
      </w:r>
      <w:r>
        <w:rPr>
          <w:rFonts w:ascii="Arial Narrow" w:hAnsi="Arial Narrow"/>
          <w:color w:val="000000"/>
          <w:spacing w:val="-4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Administrativas</w:t>
      </w:r>
      <w:r>
        <w:rPr>
          <w:rFonts w:ascii="Arial Narrow" w:hAnsi="Arial Narrow"/>
          <w:color w:val="000000"/>
          <w:spacing w:val="-4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pacing w:val="-2"/>
          <w:sz w:val="26"/>
          <w:szCs w:val="26"/>
        </w:rPr>
        <w:t>Particulares y técnicas que regirán el presente contrato, así como el importe del mismo, que asciende a</w:t>
      </w:r>
      <w:r>
        <w:rPr>
          <w:rFonts w:ascii="Arial Narrow" w:hAnsi="Arial Narrow"/>
          <w:b/>
          <w:color w:val="000000"/>
          <w:spacing w:val="-6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299.700 euros, IVA </w:t>
      </w:r>
      <w:r>
        <w:rPr>
          <w:rFonts w:ascii="Arial Narrow" w:hAnsi="Arial Narrow"/>
          <w:color w:val="000000"/>
          <w:sz w:val="26"/>
          <w:szCs w:val="26"/>
        </w:rPr>
        <w:t>incluido.</w:t>
      </w:r>
    </w:p>
    <w:p w:rsidR="002606EF" w:rsidRDefault="003F295B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  <w:lang w:eastAsia="es-ES"/>
        </w:rPr>
        <w:t>El teniente de alcaldesa de Turismo, Antonio Real, ha explicado que esta actuación</w:t>
      </w:r>
      <w:r>
        <w:rPr>
          <w:rFonts w:ascii="Arial Narrow" w:eastAsia="Calibri" w:hAnsi="Arial Narrow" w:cs="Calibri"/>
          <w:sz w:val="26"/>
          <w:szCs w:val="26"/>
        </w:rPr>
        <w:t xml:space="preserve"> contempla el suministro e instalación de la señalización recogida en el </w:t>
      </w:r>
      <w:r>
        <w:rPr>
          <w:rFonts w:ascii="Arial Narrow" w:hAnsi="Arial Narrow" w:cs="Calibri"/>
          <w:sz w:val="26"/>
          <w:szCs w:val="26"/>
        </w:rPr>
        <w:t>Plan de Señalización Turística Integral de Jerez, así como la eliminación de las señales ob</w:t>
      </w:r>
      <w:r>
        <w:rPr>
          <w:rFonts w:ascii="Arial Narrow" w:hAnsi="Arial Narrow" w:cs="Calibri"/>
          <w:sz w:val="26"/>
          <w:szCs w:val="26"/>
        </w:rPr>
        <w:t xml:space="preserve">soletas que se encuentran instaladas en distintos puntos de la ciudad. </w:t>
      </w:r>
    </w:p>
    <w:p w:rsidR="002606EF" w:rsidRDefault="003F295B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  <w:lang w:eastAsia="zh-CN"/>
        </w:rPr>
        <w:t>Como ha recordado el teniente de alcaldesa, para la puesta en marcha de esta acción se elaboró el M</w:t>
      </w:r>
      <w:r>
        <w:rPr>
          <w:rFonts w:ascii="Arial Narrow" w:hAnsi="Arial Narrow" w:cs="Calibri"/>
          <w:sz w:val="26"/>
          <w:szCs w:val="26"/>
          <w:lang w:eastAsia="es-ES"/>
        </w:rPr>
        <w:t xml:space="preserve">anual </w:t>
      </w:r>
      <w:r>
        <w:rPr>
          <w:rFonts w:ascii="Arial Narrow" w:hAnsi="Arial Narrow" w:cs="Calibri"/>
          <w:sz w:val="26"/>
          <w:szCs w:val="26"/>
        </w:rPr>
        <w:t>y Plan de Señalización Turística Integral de Jerez, que recibió el correspondie</w:t>
      </w:r>
      <w:r>
        <w:rPr>
          <w:rFonts w:ascii="Arial Narrow" w:hAnsi="Arial Narrow" w:cs="Calibri"/>
          <w:sz w:val="26"/>
          <w:szCs w:val="26"/>
        </w:rPr>
        <w:t xml:space="preserve">nte visto bueno de la Comisión Local de Patrimonio Histórico, y que incluye </w:t>
      </w:r>
      <w:proofErr w:type="gramStart"/>
      <w:r>
        <w:rPr>
          <w:rFonts w:ascii="Arial Narrow" w:hAnsi="Arial Narrow" w:cs="Calibri"/>
          <w:sz w:val="26"/>
          <w:szCs w:val="26"/>
        </w:rPr>
        <w:t>un</w:t>
      </w:r>
      <w:proofErr w:type="gramEnd"/>
      <w:r>
        <w:rPr>
          <w:rFonts w:ascii="Arial Narrow" w:hAnsi="Arial Narrow" w:cs="Calibri"/>
          <w:sz w:val="26"/>
          <w:szCs w:val="26"/>
        </w:rPr>
        <w:t xml:space="preserve"> e</w:t>
      </w:r>
      <w:r>
        <w:rPr>
          <w:rFonts w:ascii="Arial Narrow" w:hAnsi="Arial Narrow"/>
          <w:sz w:val="26"/>
          <w:szCs w:val="26"/>
        </w:rPr>
        <w:t xml:space="preserve">studio de la señalización turística y un anexo general específico de su ubicación y distribución en los distintos barrios del centro histórico. </w:t>
      </w:r>
    </w:p>
    <w:p w:rsidR="002606EF" w:rsidRDefault="003F295B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Asimismo, el citado Manual esta</w:t>
      </w:r>
      <w:r>
        <w:rPr>
          <w:rFonts w:ascii="Arial Narrow" w:hAnsi="Arial Narrow"/>
          <w:sz w:val="26"/>
          <w:szCs w:val="26"/>
        </w:rPr>
        <w:t>blece los diferentes tipos de elementos a instalar (y sus características técnicas), entre los que figuran señales direccionales peatonales, señales informativas de localización, señales identificativas de centros de visitas y productos turísticos; y señal</w:t>
      </w:r>
      <w:r>
        <w:rPr>
          <w:rFonts w:ascii="Arial Narrow" w:hAnsi="Arial Narrow"/>
          <w:sz w:val="26"/>
          <w:szCs w:val="26"/>
        </w:rPr>
        <w:t>es de acceso de bienvenida a la ciudad. “Con esta actuación vamos a mejorar la atención y la asistencia a las personas que nos visitan ofreciendo una mejor localización de los distintos atractivos turísticos que tiene Jerez</w:t>
      </w:r>
      <w:r>
        <w:rPr>
          <w:rFonts w:ascii="Arial Narrow" w:hAnsi="Arial Narrow"/>
          <w:sz w:val="26"/>
          <w:szCs w:val="26"/>
        </w:rPr>
        <w:t xml:space="preserve"> así como de las zonas más visit</w:t>
      </w:r>
      <w:r>
        <w:rPr>
          <w:rFonts w:ascii="Arial Narrow" w:hAnsi="Arial Narrow"/>
          <w:sz w:val="26"/>
          <w:szCs w:val="26"/>
        </w:rPr>
        <w:t>adas”, ha señalado Antonio Real.</w:t>
      </w:r>
    </w:p>
    <w:p w:rsidR="002606EF" w:rsidRDefault="003F295B">
      <w:pPr>
        <w:spacing w:after="200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En este sentido, con este nuevo contrato se pretende dotar a la ciudad de una señalización más precisa y adaptada a las necesidades actuales, que va a proporcionar a los visitantes direcciones esenciales, localización de atracciones locales</w:t>
      </w:r>
      <w:bookmarkStart w:id="0" w:name="_GoBack"/>
      <w:bookmarkEnd w:id="0"/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 y orientaciones de seguridad, lo que contribuirá significativamente a una experiencia turística más agradable</w:t>
      </w:r>
      <w:r>
        <w:rPr>
          <w:rStyle w:val="Ninguno"/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2606EF" w:rsidRDefault="003F295B">
      <w:pPr>
        <w:spacing w:after="200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Entre otros puntos donde se van a instalar los nuevos elementos figuran enclaves  como la plaza de la Estación, el entorno de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 la Catedral, la plaza del Arenal, la Alameda Marqués de Casa </w:t>
      </w:r>
      <w:proofErr w:type="spellStart"/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Domecq</w:t>
      </w:r>
      <w:proofErr w:type="spellEnd"/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 xml:space="preserve">, la plaza Belén, la Ronda del Caracol o  la avenida Duque de </w:t>
      </w:r>
      <w:proofErr w:type="spellStart"/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Abrantes</w:t>
      </w:r>
      <w:proofErr w:type="spellEnd"/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, donde se encuentra la Real Escuela de Arte Ecuestre.</w:t>
      </w:r>
    </w:p>
    <w:p w:rsidR="002606EF" w:rsidRDefault="003F295B">
      <w:pPr>
        <w:spacing w:after="200"/>
        <w:jc w:val="both"/>
      </w:pP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Igualmente se contempla la instalación de señales identificativ</w:t>
      </w:r>
      <w:r>
        <w:rPr>
          <w:rStyle w:val="Fuentedeprrafopredeter18"/>
          <w:rFonts w:ascii="Arial Narrow" w:eastAsia="Arial" w:hAnsi="Arial Narrow" w:cs="Arial Narrow"/>
          <w:sz w:val="26"/>
          <w:szCs w:val="26"/>
          <w:lang w:eastAsia="es-ES_tradnl"/>
        </w:rPr>
        <w:t>as en centros de visitas y productos turísticos ancladas al suelo y en la pared.</w:t>
      </w:r>
    </w:p>
    <w:p w:rsidR="002606EF" w:rsidRDefault="002606EF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lang w:eastAsia="es-ES_tradnl"/>
        </w:rPr>
      </w:pPr>
    </w:p>
    <w:p w:rsidR="002606EF" w:rsidRDefault="002606EF">
      <w:pPr>
        <w:tabs>
          <w:tab w:val="left" w:pos="3045"/>
        </w:tabs>
        <w:jc w:val="both"/>
        <w:rPr>
          <w:rFonts w:ascii="Arial Narrow" w:hAnsi="Arial Narrow"/>
          <w:i/>
          <w:iCs/>
          <w:sz w:val="26"/>
          <w:szCs w:val="26"/>
        </w:rPr>
      </w:pPr>
    </w:p>
    <w:p w:rsidR="002606EF" w:rsidRDefault="002606EF">
      <w:pPr>
        <w:pStyle w:val="Prrafodelista"/>
        <w:spacing w:after="160"/>
        <w:ind w:left="284"/>
        <w:contextualSpacing/>
      </w:pPr>
    </w:p>
    <w:sectPr w:rsidR="002606E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295B">
      <w:r>
        <w:separator/>
      </w:r>
    </w:p>
  </w:endnote>
  <w:endnote w:type="continuationSeparator" w:id="0">
    <w:p w:rsidR="00000000" w:rsidRDefault="003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CZUQV+GTWalsheimProBold">
    <w:charset w:val="00"/>
    <w:family w:val="roman"/>
    <w:pitch w:val="variable"/>
  </w:font>
  <w:font w:name="Gill Sans MT">
    <w:panose1 w:val="020B0502020104020203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  <w:font w:name="Lucida Grande">
    <w:charset w:val="00"/>
    <w:family w:val="roman"/>
    <w:pitch w:val="variable"/>
  </w:font>
  <w:font w:name="CG Times">
    <w:charset w:val="00"/>
    <w:family w:val="roman"/>
    <w:pitch w:val="variable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</w:font>
  <w:font w:name="font1764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295B">
      <w:r>
        <w:separator/>
      </w:r>
    </w:p>
  </w:footnote>
  <w:footnote w:type="continuationSeparator" w:id="0">
    <w:p w:rsidR="00000000" w:rsidRDefault="003F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EF" w:rsidRDefault="003F295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06EF" w:rsidRDefault="002606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4B6"/>
    <w:multiLevelType w:val="multilevel"/>
    <w:tmpl w:val="D0A4AC5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F62DEB"/>
    <w:multiLevelType w:val="multilevel"/>
    <w:tmpl w:val="9EF84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2606EF"/>
    <w:rsid w:val="002606EF"/>
    <w:rsid w:val="003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E5F78-2499-4AFD-80AC-A94F4B8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Arial" w:eastAsia="DejaVu Sans" w:hAnsi="Arial" w:cs="DejaVu Sans"/>
      <w:color w:val="117A02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Arial" w:eastAsia="DejaVu Sans" w:hAnsi="Arial" w:cs="DejaVu Sans"/>
      <w:color w:val="117A02" w:themeColor="accent1" w:themeShade="BF"/>
      <w:sz w:val="26"/>
      <w:szCs w:val="2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Pr>
      <w:i/>
      <w:iCs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Ttulo2Car">
    <w:name w:val="Título 2 Car"/>
    <w:basedOn w:val="Fuentedeprrafopredeter"/>
    <w:qFormat/>
    <w:rPr>
      <w:rFonts w:ascii="Arial" w:eastAsia="DejaVu Sans" w:hAnsi="Arial" w:cs="DejaVu Sans"/>
      <w:color w:val="117A02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qFormat/>
    <w:rPr>
      <w:rFonts w:ascii="Arial" w:eastAsia="DejaVu Sans" w:hAnsi="Arial" w:cs="DejaVu Sans"/>
      <w:color w:val="117A02" w:themeColor="accent1" w:themeShade="BF"/>
      <w:sz w:val="32"/>
      <w:szCs w:val="32"/>
      <w:lang w:eastAsia="en-US"/>
    </w:rPr>
  </w:style>
  <w:style w:type="character" w:customStyle="1" w:styleId="Sangra3detindependienteCar">
    <w:name w:val="Sangría 3 de t. independiente Car"/>
    <w:basedOn w:val="Fuentedeprrafopredeter"/>
    <w:qFormat/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qFormat/>
    <w:pPr>
      <w:tabs>
        <w:tab w:val="left" w:pos="-720"/>
        <w:tab w:val="left" w:pos="0"/>
      </w:tabs>
      <w:jc w:val="both"/>
    </w:pPr>
    <w:rPr>
      <w:rFonts w:ascii="Arial" w:hAnsi="Arial" w:cs="Arial"/>
      <w:spacing w:val="-3"/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Textoindependiente1">
    <w:name w:val="Texto independiente1"/>
    <w:basedOn w:val="Normal"/>
    <w:qFormat/>
    <w:pPr>
      <w:suppressAutoHyphens w:val="0"/>
      <w:jc w:val="both"/>
    </w:pPr>
    <w:rPr>
      <w:rFonts w:ascii="Arial Narrow" w:eastAsia="Times New Roman" w:hAnsi="Arial Narrow"/>
      <w:sz w:val="28"/>
      <w:lang w:eastAsia="es-ES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cs="Calibri"/>
      <w:kern w:val="2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after="20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qFormat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Tablanormal1">
    <w:name w:val="Tabla normal1"/>
    <w:qFormat/>
    <w:rPr>
      <w:rFonts w:ascii="Times New Roman" w:eastAsia="Tahoma" w:hAnsi="Times New Roman" w:cs="Times New Roman"/>
      <w:sz w:val="20"/>
      <w:szCs w:val="20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0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Standard1">
    <w:name w:val="Standard1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1">
    <w:name w:val="Caption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rFonts w:ascii="Times New Roman" w:eastAsia="Times New Roman" w:hAnsi="Times New Roman" w:cs="Times New Roman"/>
      <w:color w:val="00000A"/>
      <w:sz w:val="20"/>
      <w:szCs w:val="20"/>
      <w:lang w:eastAsia="es-ES_tradnl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  <w:rPr>
      <w:rFonts w:ascii="Arial" w:hAnsi="Arial"/>
    </w:rPr>
  </w:style>
  <w:style w:type="paragraph" w:customStyle="1" w:styleId="Textoindependiente22">
    <w:name w:val="Texto independiente 22"/>
    <w:basedOn w:val="Normal"/>
    <w:qFormat/>
    <w:pPr>
      <w:jc w:val="center"/>
    </w:pPr>
    <w:rPr>
      <w:rFonts w:ascii="Arial" w:hAnsi="Arial" w:cs="Arial"/>
      <w:color w:val="000000"/>
      <w:kern w:val="2"/>
      <w:sz w:val="20"/>
      <w:lang w:eastAsia="zh-CN"/>
    </w:rPr>
  </w:style>
  <w:style w:type="paragraph" w:customStyle="1" w:styleId="Poromisin">
    <w:name w:val="Por omisión"/>
    <w:qFormat/>
    <w:pPr>
      <w:spacing w:before="160" w:line="288" w:lineRule="auto"/>
    </w:pPr>
    <w:rPr>
      <w:rFonts w:ascii="Helvetica Neue" w:eastAsia="Times New Roman" w:hAnsi="Helvetica Neue" w:cs="Arial Unicode MS"/>
      <w:color w:val="000000"/>
      <w:lang w:val="es-ES_tradnl" w:eastAsia="es-ES_tradnl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3">
    <w:name w:val="caption111113"/>
    <w:basedOn w:val="Normal"/>
    <w:qFormat/>
    <w:pPr>
      <w:spacing w:before="120" w:after="120"/>
    </w:pPr>
    <w:rPr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3">
    <w:name w:val="caption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Sangra3detindependiente">
    <w:name w:val="Body Text Indent 3"/>
    <w:basedOn w:val="Normal"/>
    <w:qFormat/>
    <w:pPr>
      <w:ind w:left="3686"/>
      <w:jc w:val="center"/>
    </w:pPr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Normal10">
    <w:name w:val="Normal 10"/>
    <w:basedOn w:val="Standard"/>
    <w:qFormat/>
    <w:rPr>
      <w:sz w:val="20"/>
    </w:rPr>
  </w:style>
  <w:style w:type="paragraph" w:customStyle="1" w:styleId="Normalcursiva8">
    <w:name w:val="Normal cursiva 8"/>
    <w:basedOn w:val="Normal"/>
    <w:qFormat/>
    <w:pPr>
      <w:textAlignment w:val="baseline"/>
    </w:pPr>
    <w:rPr>
      <w:rFonts w:ascii="Calibri" w:eastAsia="Calibri" w:hAnsi="Calibri" w:cs="Times New Roman"/>
      <w:i/>
      <w:kern w:val="2"/>
      <w:sz w:val="16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DC2">
    <w:name w:val="toc 2"/>
    <w:basedOn w:val="Normal"/>
    <w:next w:val="Normal"/>
    <w:pPr>
      <w:spacing w:after="100"/>
      <w:ind w:left="220"/>
    </w:pPr>
  </w:style>
  <w:style w:type="paragraph" w:styleId="TDC1">
    <w:name w:val="toc 1"/>
    <w:basedOn w:val="Normal"/>
    <w:next w:val="Normal"/>
    <w:pPr>
      <w:spacing w:after="100"/>
    </w:pPr>
  </w:style>
  <w:style w:type="numbering" w:customStyle="1" w:styleId="Ningunalista">
    <w:name w:val="Ninguna list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Ana Isabel Maestro de Pablos</cp:lastModifiedBy>
  <cp:revision>14</cp:revision>
  <dcterms:created xsi:type="dcterms:W3CDTF">2025-07-01T08:53:00Z</dcterms:created>
  <dcterms:modified xsi:type="dcterms:W3CDTF">2025-08-14T06:57:00Z</dcterms:modified>
  <dc:language>es-ES</dc:language>
</cp:coreProperties>
</file>