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ind w:hanging="0"/>
        <w:rPr>
          <w:b w:val="false"/>
          <w:i w:val="false"/>
          <w:i w:val="false"/>
          <w:caps w:val="false"/>
          <w:smallCaps w:val="false"/>
          <w:color w:val="242424"/>
          <w:spacing w:val="0"/>
        </w:rPr>
      </w:pPr>
      <w:r>
        <w:rPr>
          <w:b w:val="false"/>
          <w:i w:val="false"/>
          <w:caps w:val="false"/>
          <w:smallCaps w:val="false"/>
          <w:color w:val="242424"/>
          <w:spacing w:val="0"/>
        </w:rPr>
      </w:r>
    </w:p>
    <w:p>
      <w:pPr>
        <w:pStyle w:val="BodyText"/>
        <w:widowControl/>
        <w:spacing w:lineRule="auto" w:line="240"/>
        <w:ind w:hanging="0"/>
        <w:rPr>
          <w:rFonts w:ascii="Arial Narrow" w:hAnsi="Arial Narrow"/>
          <w:sz w:val="40"/>
        </w:rPr>
      </w:pPr>
      <w:r>
        <w:rPr>
          <w:rFonts w:ascii="Arial Narrow" w:hAnsi="Arial Narrow"/>
          <w:b/>
          <w:bCs/>
          <w:i w:val="false"/>
          <w:caps w:val="false"/>
          <w:smallCaps w:val="false"/>
          <w:color w:val="242424"/>
          <w:spacing w:val="0"/>
          <w:sz w:val="40"/>
          <w:szCs w:val="40"/>
        </w:rPr>
        <w:t>La alcaldesa destaca que la Candidatura a Ciudad Española del Vino 2027 “refleja la fortaleza de una industria vitivinícola consolidada y el potencial turístico de Jerez”</w:t>
      </w:r>
    </w:p>
    <w:p>
      <w:pPr>
        <w:pStyle w:val="BodyText"/>
        <w:widowControl/>
        <w:spacing w:lineRule="auto" w:line="240"/>
        <w:ind w:hanging="0"/>
        <w:rPr/>
      </w:pPr>
      <w:r>
        <w:rPr>
          <w:rFonts w:ascii="Arial Narrow" w:hAnsi="Arial Narrow"/>
          <w:b w:val="false"/>
          <w:bCs w:val="false"/>
          <w:i w:val="false"/>
          <w:caps w:val="false"/>
          <w:smallCaps w:val="false"/>
          <w:color w:val="242424"/>
          <w:spacing w:val="0"/>
          <w:sz w:val="32"/>
          <w:szCs w:val="32"/>
        </w:rPr>
        <w:t>El Ayuntamiento aprueba el documento de presentación “de una Candidatura compartida, que mira hacia el futuro, y con la que Jerez se reivindica como referente de la cultura vitivinícola a nivel nacional e internacional”</w:t>
      </w:r>
    </w:p>
    <w:p>
      <w:pPr>
        <w:pStyle w:val="BodyText"/>
        <w:spacing w:lineRule="auto" w:line="240" w:before="0" w:after="0"/>
        <w:jc w:val="both"/>
        <w:rPr>
          <w:rFonts w:ascii="Arial Narrow" w:hAnsi="Arial Narrow"/>
          <w:b/>
          <w:bCs/>
          <w:i w:val="false"/>
          <w:i w:val="false"/>
          <w:caps w:val="false"/>
          <w:smallCaps w:val="false"/>
          <w:spacing w:val="0"/>
          <w:sz w:val="26"/>
          <w:szCs w:val="26"/>
        </w:rPr>
      </w:pPr>
      <w:r>
        <w:rPr>
          <w:rFonts w:ascii="Arial Narrow" w:hAnsi="Arial Narrow"/>
          <w:b/>
          <w:bCs/>
          <w:i w:val="false"/>
          <w:caps w:val="false"/>
          <w:smallCaps w:val="false"/>
          <w:spacing w:val="0"/>
          <w:sz w:val="26"/>
          <w:szCs w:val="26"/>
        </w:rPr>
      </w:r>
    </w:p>
    <w:p>
      <w:pPr>
        <w:pStyle w:val="BodyText"/>
        <w:spacing w:lineRule="auto" w:line="240" w:before="0" w:after="0"/>
        <w:jc w:val="both"/>
        <w:rPr/>
      </w:pPr>
      <w:r>
        <w:rPr>
          <w:rFonts w:ascii="Arial Narrow" w:hAnsi="Arial Narrow"/>
          <w:b/>
          <w:bCs/>
          <w:i w:val="false"/>
          <w:caps w:val="false"/>
          <w:smallCaps w:val="false"/>
          <w:spacing w:val="0"/>
          <w:sz w:val="26"/>
          <w:szCs w:val="26"/>
        </w:rPr>
        <w:t>4 de septiembre de 2026.</w:t>
      </w:r>
      <w:r>
        <w:rPr>
          <w:rFonts w:ascii="Arial Narrow" w:hAnsi="Arial Narrow"/>
          <w:b w:val="false"/>
          <w:i w:val="false"/>
          <w:caps w:val="false"/>
          <w:smallCaps w:val="false"/>
          <w:spacing w:val="0"/>
          <w:sz w:val="26"/>
          <w:szCs w:val="26"/>
        </w:rPr>
        <w:t xml:space="preserve"> La Candidatura de Jerez a </w:t>
      </w:r>
      <w:r>
        <w:rPr>
          <w:rStyle w:val="Strong"/>
          <w:rFonts w:ascii="Arial Narrow" w:hAnsi="Arial Narrow"/>
          <w:b w:val="false"/>
          <w:i w:val="false"/>
          <w:caps w:val="false"/>
          <w:smallCaps w:val="false"/>
          <w:spacing w:val="0"/>
          <w:sz w:val="26"/>
          <w:szCs w:val="26"/>
        </w:rPr>
        <w:t xml:space="preserve">Ciudad Española del Vino 2027 </w:t>
      </w:r>
      <w:r>
        <w:rPr>
          <w:rFonts w:ascii="Arial Narrow" w:hAnsi="Arial Narrow"/>
          <w:b w:val="false"/>
          <w:i w:val="false"/>
          <w:caps w:val="false"/>
          <w:smallCaps w:val="false"/>
          <w:spacing w:val="0"/>
          <w:sz w:val="26"/>
          <w:szCs w:val="26"/>
        </w:rPr>
        <w:t xml:space="preserve">ha dado un paso definitivo con la aprobación, por la Junta de Gobierno Local, del documento de presentación de esta iniciativa, así como de realización de las actuaciones necesarias para preparar el programa que acompañará a la propuesta. La alcaldesa de Jerez, María José García-Pelayo, ha destacado que con esta </w:t>
      </w:r>
      <w:r>
        <w:rPr>
          <w:rFonts w:ascii="Arial Narrow" w:hAnsi="Arial Narrow"/>
          <w:b w:val="false"/>
          <w:bCs w:val="false"/>
          <w:i w:val="false"/>
          <w:caps w:val="false"/>
          <w:smallCaps w:val="false"/>
          <w:color w:val="242424"/>
          <w:spacing w:val="0"/>
          <w:sz w:val="26"/>
          <w:szCs w:val="26"/>
        </w:rPr>
        <w:t xml:space="preserve">Candidatura “Jerez mira hacia el futuro y se reivindica como referente de la cultura vitivinícola a nivel nacional e internacional”. </w:t>
      </w:r>
    </w:p>
    <w:p>
      <w:pPr>
        <w:pStyle w:val="BodyText"/>
        <w:spacing w:lineRule="auto" w:line="240" w:before="0" w:after="0"/>
        <w:jc w:val="both"/>
        <w:rPr>
          <w:i w:val="false"/>
          <w:i w:val="false"/>
          <w:caps w:val="false"/>
          <w:smallCaps w:val="false"/>
          <w:spacing w:val="0"/>
        </w:rPr>
      </w:pPr>
      <w:r>
        <w:rPr>
          <w:i w:val="false"/>
          <w:caps w:val="false"/>
          <w:smallCaps w:val="false"/>
          <w:spacing w:val="0"/>
        </w:rPr>
      </w:r>
    </w:p>
    <w:p>
      <w:pPr>
        <w:pStyle w:val="BodyText"/>
        <w:widowControl/>
        <w:spacing w:lineRule="auto" w:line="240" w:before="0" w:after="0"/>
        <w:ind w:hanging="0" w:left="0" w:right="0"/>
        <w:jc w:val="both"/>
        <w:rPr>
          <w:rFonts w:ascii="Arial Narrow" w:hAnsi="Arial Narrow"/>
          <w:b w:val="false"/>
          <w:sz w:val="26"/>
          <w:szCs w:val="26"/>
        </w:rPr>
      </w:pPr>
      <w:r>
        <w:rPr>
          <w:rFonts w:ascii="Arial Narrow" w:hAnsi="Arial Narrow"/>
          <w:b w:val="false"/>
          <w:i w:val="false"/>
          <w:caps w:val="false"/>
          <w:smallCaps w:val="false"/>
          <w:spacing w:val="0"/>
          <w:sz w:val="26"/>
          <w:szCs w:val="26"/>
        </w:rPr>
        <w:t xml:space="preserve">La Candidatura tiene entre sus principales objetivos consolidar el enoturismo como producto estratégico, favorecer la llegada de visitantes durante todo el año, incrementar la actividad económica relacionada con el turismo, poner en valor el patrimonio vitivinícola y fomentar la colaboración entre las administraciones, las bodegas y los diferentes sectores económicos y sociales de la ciudad. “En definitiva, esta iniciativa permitirá “seguir reforzando la proyección turística de Jerez a través de uno de nuestros principales elementos de identidad, como es el vino, generando nuevas oportunidades para la ciudad y para los sectores vinculados al turismo”, en palabras de la alcaldesa. </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pPr>
      <w:r>
        <w:rPr>
          <w:rFonts w:ascii="Arial Narrow" w:hAnsi="Arial Narrow"/>
          <w:b w:val="false"/>
          <w:i w:val="false"/>
          <w:caps w:val="false"/>
          <w:smallCaps w:val="false"/>
          <w:spacing w:val="0"/>
          <w:sz w:val="26"/>
          <w:szCs w:val="26"/>
        </w:rPr>
        <w:t xml:space="preserve">El procedimiento para la designación de Ciudad Española del Vino está convocado por la </w:t>
      </w:r>
      <w:r>
        <w:rPr>
          <w:rStyle w:val="Strong"/>
          <w:rFonts w:ascii="Arial Narrow" w:hAnsi="Arial Narrow"/>
          <w:b w:val="false"/>
          <w:i w:val="false"/>
          <w:caps w:val="false"/>
          <w:smallCaps w:val="false"/>
          <w:spacing w:val="0"/>
          <w:sz w:val="26"/>
          <w:szCs w:val="26"/>
        </w:rPr>
        <w:t>Asociación Española de Ciudades del Vino (ACEVIN)</w:t>
      </w:r>
      <w:r>
        <w:rPr>
          <w:rFonts w:ascii="Arial Narrow" w:hAnsi="Arial Narrow"/>
          <w:b w:val="false"/>
          <w:i w:val="false"/>
          <w:caps w:val="false"/>
          <w:smallCaps w:val="false"/>
          <w:spacing w:val="0"/>
          <w:sz w:val="26"/>
          <w:szCs w:val="26"/>
        </w:rPr>
        <w:t>, colectivo que agrupa a alrededor de un centenar de entidades pertenecientes a diferentes Denominaciones de Origen españolas y estrechamente vinculadas a la cultura del vino y al desarrollo del enoturismo. De esta forma, la convocatoria, de carácter anual, tiene como finalidad impulsar la cultura del vino como parte del paisaje, la economía, la gastronomía y el patrimonio de los territorios vitivinícolas, otorgándole, además, un papel destacado como herramienta de crecimiento económico y desarrollo territorial.</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rFonts w:ascii="Arial Narrow" w:hAnsi="Arial Narrow"/>
          <w:caps w:val="false"/>
          <w:smallCaps w:val="false"/>
          <w:spacing w:val="0"/>
          <w:sz w:val="26"/>
          <w:szCs w:val="26"/>
        </w:rPr>
      </w:pPr>
      <w:r>
        <w:rPr>
          <w:rFonts w:ascii="Arial Narrow" w:hAnsi="Arial Narrow"/>
          <w:b w:val="false"/>
          <w:i w:val="false"/>
          <w:caps w:val="false"/>
          <w:smallCaps w:val="false"/>
          <w:spacing w:val="0"/>
          <w:sz w:val="26"/>
          <w:szCs w:val="26"/>
        </w:rPr>
        <w:t xml:space="preserve">Para María José García-Pelayo, esta Candidatura “engloba un enorme interés estratégico por la importancia histórica, económica, cultural y social que </w:t>
      </w:r>
      <w:r>
        <w:rPr>
          <w:rFonts w:ascii="Arial Narrow" w:hAnsi="Arial Narrow"/>
          <w:b w:val="false"/>
          <w:i w:val="false"/>
          <w:caps w:val="false"/>
          <w:smallCaps w:val="false"/>
          <w:spacing w:val="0"/>
          <w:sz w:val="26"/>
          <w:szCs w:val="26"/>
        </w:rPr>
        <w:t>el</w:t>
      </w:r>
      <w:r>
        <w:rPr>
          <w:rFonts w:ascii="Arial Narrow" w:hAnsi="Arial Narrow"/>
          <w:b w:val="false"/>
          <w:i w:val="false"/>
          <w:caps w:val="false"/>
          <w:smallCaps w:val="false"/>
          <w:spacing w:val="0"/>
          <w:sz w:val="26"/>
          <w:szCs w:val="26"/>
        </w:rPr>
        <w:t xml:space="preserve"> vino ha tenido siempre para Jerez; las bodegas, el viñedo, su gastronomía y las tradiciones y celebraciones vinculadas a est</w:t>
      </w:r>
      <w:r>
        <w:rPr>
          <w:rFonts w:ascii="Arial Narrow" w:hAnsi="Arial Narrow"/>
          <w:b w:val="false"/>
          <w:i w:val="false"/>
          <w:caps w:val="false"/>
          <w:smallCaps w:val="false"/>
          <w:spacing w:val="0"/>
          <w:sz w:val="26"/>
          <w:szCs w:val="26"/>
        </w:rPr>
        <w:t>a industria</w:t>
      </w:r>
      <w:r>
        <w:rPr>
          <w:rFonts w:ascii="Arial Narrow" w:hAnsi="Arial Narrow"/>
          <w:b w:val="false"/>
          <w:i w:val="false"/>
          <w:caps w:val="false"/>
          <w:smallCaps w:val="false"/>
          <w:spacing w:val="0"/>
          <w:sz w:val="26"/>
          <w:szCs w:val="26"/>
        </w:rPr>
        <w:t xml:space="preserve"> forman parte de nuestra identidad y constituyen un patrimonio único que queremos aprovechar también para seguir creciendo como destino turístico”. </w:t>
      </w:r>
    </w:p>
    <w:p>
      <w:pPr>
        <w:pStyle w:val="BodyText"/>
        <w:widowControl/>
        <w:spacing w:lineRule="auto" w:line="240" w:before="0" w:after="0"/>
        <w:ind w:hanging="0" w:left="0" w:right="0"/>
        <w:jc w:val="both"/>
        <w:rPr>
          <w:b w:val="false"/>
          <w:i w:val="false"/>
          <w:i w:val="false"/>
        </w:rPr>
      </w:pPr>
      <w:r>
        <w:rPr>
          <w:b w:val="false"/>
          <w:i w:val="false"/>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En este sentido, la propuesta de Jerez responde a los objetivos establecidos por ACEVIN para esta designación; entre los aspectos que se valoran se encuentran la capacidad de la programación para alcanzar una proyección nacional, contribuir a la conservación y difusión de la cultura y el patrimonio del vino, e implicar a la ciudadanía y a los sectores del comercio, la cultura y la empresa, favoreciendo la cooperación entre los distintos territorios vitivinícolas.</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También se tiene en cuenta la participación de entidades y colectivos, la variedad de las actividades propuestas, su vinculación con el enoturismo, el esfuerzo presupuestario y la estrategia de comunicación y promoción. Asimismo, uno de los elementos especialmente valorados es que las iniciativas impulsadas durante el año de la designación puedan mantenerse posteriormente.</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 xml:space="preserve">Por todo ello, la regidora ha destacado que Jerez se posiciona como una firme Candidata a esta distinción gracias a </w:t>
      </w:r>
      <w:r>
        <w:rPr>
          <w:rFonts w:ascii="Arial Narrow" w:hAnsi="Arial Narrow"/>
          <w:b w:val="false"/>
          <w:i w:val="false"/>
          <w:caps w:val="false"/>
          <w:smallCaps w:val="false"/>
          <w:spacing w:val="0"/>
          <w:sz w:val="26"/>
          <w:szCs w:val="26"/>
        </w:rPr>
        <w:t>una industria</w:t>
      </w:r>
      <w:r>
        <w:rPr>
          <w:rFonts w:ascii="Arial Narrow" w:hAnsi="Arial Narrow"/>
          <w:b w:val="false"/>
          <w:i w:val="false"/>
          <w:caps w:val="false"/>
          <w:smallCaps w:val="false"/>
          <w:spacing w:val="0"/>
          <w:sz w:val="26"/>
          <w:szCs w:val="26"/>
        </w:rPr>
        <w:t xml:space="preserve"> vitivinícola y enoturístic</w:t>
      </w:r>
      <w:r>
        <w:rPr>
          <w:rFonts w:ascii="Arial Narrow" w:hAnsi="Arial Narrow"/>
          <w:b w:val="false"/>
          <w:i w:val="false"/>
          <w:caps w:val="false"/>
          <w:smallCaps w:val="false"/>
          <w:spacing w:val="0"/>
          <w:sz w:val="26"/>
          <w:szCs w:val="26"/>
        </w:rPr>
        <w:t>a</w:t>
      </w:r>
      <w:r>
        <w:rPr>
          <w:rFonts w:ascii="Arial Narrow" w:hAnsi="Arial Narrow"/>
          <w:b w:val="false"/>
          <w:i w:val="false"/>
          <w:caps w:val="false"/>
          <w:smallCaps w:val="false"/>
          <w:spacing w:val="0"/>
          <w:sz w:val="26"/>
          <w:szCs w:val="26"/>
        </w:rPr>
        <w:t xml:space="preserve"> consolidad</w:t>
      </w:r>
      <w:r>
        <w:rPr>
          <w:rFonts w:ascii="Arial Narrow" w:hAnsi="Arial Narrow"/>
          <w:b w:val="false"/>
          <w:i w:val="false"/>
          <w:caps w:val="false"/>
          <w:smallCaps w:val="false"/>
          <w:spacing w:val="0"/>
          <w:sz w:val="26"/>
          <w:szCs w:val="26"/>
        </w:rPr>
        <w:t>a e</w:t>
      </w:r>
      <w:r>
        <w:rPr>
          <w:rFonts w:ascii="Arial Narrow" w:hAnsi="Arial Narrow"/>
          <w:b w:val="false"/>
          <w:i w:val="false"/>
          <w:caps w:val="false"/>
          <w:smallCaps w:val="false"/>
          <w:spacing w:val="0"/>
          <w:sz w:val="26"/>
          <w:szCs w:val="26"/>
        </w:rPr>
        <w:t xml:space="preserve"> integrad</w:t>
      </w:r>
      <w:r>
        <w:rPr>
          <w:rFonts w:ascii="Arial Narrow" w:hAnsi="Arial Narrow"/>
          <w:b w:val="false"/>
          <w:i w:val="false"/>
          <w:caps w:val="false"/>
          <w:smallCaps w:val="false"/>
          <w:spacing w:val="0"/>
          <w:sz w:val="26"/>
          <w:szCs w:val="26"/>
        </w:rPr>
        <w:t>a</w:t>
      </w:r>
      <w:r>
        <w:rPr>
          <w:rFonts w:ascii="Arial Narrow" w:hAnsi="Arial Narrow"/>
          <w:b w:val="false"/>
          <w:i w:val="false"/>
          <w:caps w:val="false"/>
          <w:smallCaps w:val="false"/>
          <w:spacing w:val="0"/>
          <w:sz w:val="26"/>
          <w:szCs w:val="26"/>
        </w:rPr>
        <w:t xml:space="preserve"> por bodegas, viñedos, instituciones representativas del vino, establecimientos turísticos y hosteleros, empresas de servicios y entidades culturales, junto a una amplia programación de acontecimientos relacionados directa o indirectamente con la cultura del vino. “Jerez reúne todos los elementos para presentar una candidatura sólida y ambiciosa, pero también queremos que sea una candidatura compartida, capaz de implicar </w:t>
      </w:r>
      <w:r>
        <w:rPr>
          <w:rFonts w:ascii="Arial Narrow" w:hAnsi="Arial Narrow"/>
          <w:b w:val="false"/>
          <w:i w:val="false"/>
          <w:caps w:val="false"/>
          <w:smallCaps w:val="false"/>
          <w:spacing w:val="0"/>
          <w:sz w:val="26"/>
          <w:szCs w:val="26"/>
        </w:rPr>
        <w:t>a la industria del vino,</w:t>
      </w:r>
      <w:r>
        <w:rPr>
          <w:rFonts w:ascii="Arial Narrow" w:hAnsi="Arial Narrow"/>
          <w:b w:val="false"/>
          <w:i w:val="false"/>
          <w:caps w:val="false"/>
          <w:smallCaps w:val="false"/>
          <w:spacing w:val="0"/>
          <w:sz w:val="26"/>
          <w:szCs w:val="26"/>
        </w:rPr>
        <w:t xml:space="preserve"> al turismo, la hostelería, el comercio, la cultura y al conjunto de la </w:t>
      </w:r>
      <w:r>
        <w:rPr>
          <w:rFonts w:ascii="Arial Narrow" w:hAnsi="Arial Narrow"/>
          <w:b w:val="false"/>
          <w:i w:val="false"/>
          <w:caps w:val="false"/>
          <w:smallCaps w:val="false"/>
          <w:spacing w:val="0"/>
          <w:sz w:val="26"/>
          <w:szCs w:val="26"/>
        </w:rPr>
        <w:t>sociedad</w:t>
      </w:r>
      <w:r>
        <w:rPr>
          <w:rFonts w:ascii="Arial Narrow" w:hAnsi="Arial Narrow"/>
          <w:b w:val="false"/>
          <w:i w:val="false"/>
          <w:caps w:val="false"/>
          <w:smallCaps w:val="false"/>
          <w:spacing w:val="0"/>
          <w:sz w:val="26"/>
          <w:szCs w:val="26"/>
        </w:rPr>
        <w:t>”.</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Heading2"/>
        <w:widowControl/>
        <w:spacing w:lineRule="auto" w:line="240" w:before="0" w:after="0"/>
        <w:ind w:hanging="0" w:left="0" w:right="0"/>
        <w:jc w:val="both"/>
        <w:rPr>
          <w:rFonts w:ascii="Arial Narrow" w:hAnsi="Arial Narrow"/>
          <w:b/>
          <w:bCs/>
          <w:i w:val="false"/>
          <w:i w:val="false"/>
          <w:caps w:val="false"/>
          <w:smallCaps w:val="false"/>
          <w:spacing w:val="0"/>
          <w:sz w:val="26"/>
          <w:szCs w:val="26"/>
        </w:rPr>
      </w:pPr>
      <w:r>
        <w:rPr>
          <w:rFonts w:ascii="Arial Narrow" w:hAnsi="Arial Narrow"/>
          <w:b/>
          <w:bCs/>
          <w:i w:val="false"/>
          <w:caps w:val="false"/>
          <w:smallCaps w:val="false"/>
          <w:spacing w:val="0"/>
          <w:sz w:val="26"/>
          <w:szCs w:val="26"/>
        </w:rPr>
        <w:t>Continuidad a la Capital Española de la Gastronomía</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pPr>
      <w:r>
        <w:rPr>
          <w:rFonts w:ascii="Arial Narrow" w:hAnsi="Arial Narrow"/>
          <w:b w:val="false"/>
          <w:i w:val="false"/>
          <w:caps w:val="false"/>
          <w:smallCaps w:val="false"/>
          <w:spacing w:val="0"/>
          <w:sz w:val="26"/>
          <w:szCs w:val="26"/>
        </w:rPr>
        <w:t>Por otro lado, la designación de Jerez como Ciudad Española del Vino en 2027 permitiría, además, dar continuidad al impulso que se está dando a la proyección de la ciudad</w:t>
      </w:r>
      <w:r>
        <w:rPr>
          <w:rStyle w:val="Strong"/>
          <w:rFonts w:ascii="Arial Narrow" w:hAnsi="Arial Narrow"/>
          <w:b w:val="false"/>
          <w:i w:val="false"/>
          <w:caps w:val="false"/>
          <w:smallCaps w:val="false"/>
          <w:spacing w:val="0"/>
          <w:sz w:val="26"/>
          <w:szCs w:val="26"/>
        </w:rPr>
        <w:t xml:space="preserve"> como Capital Española de la Gastronomía a través de una</w:t>
      </w:r>
      <w:r>
        <w:rPr>
          <w:rFonts w:ascii="Arial Narrow" w:hAnsi="Arial Narrow"/>
          <w:b w:val="false"/>
          <w:i w:val="false"/>
          <w:caps w:val="false"/>
          <w:smallCaps w:val="false"/>
          <w:spacing w:val="0"/>
          <w:sz w:val="26"/>
          <w:szCs w:val="26"/>
        </w:rPr>
        <w:t xml:space="preserve"> programación específica y de una estrategia de promoción en torno al vino de Jerez. “Queremos aprovechar este impulso para que la gente siga teniendo motivos para visitarnos y disfrutar de nuestros atractivos, reforzando así nuestra presencia en los mercados turísticos nacionales e internacionales y aumentando el impacto de la actividad turística en ámbitos como la hostelería, el comercio, el transporte y las empresas de servicios. La gastronomía y el vino forman parte de nuestra esencia y ofrecen enormes posibilidades para atraer visitantes, generar actividad económica y crear nuevas experiencias durante todo el año”, ha explicado García-Pelayo.</w:t>
      </w:r>
    </w:p>
    <w:p>
      <w:pPr>
        <w:pStyle w:val="BodyText"/>
        <w:widowControl/>
        <w:spacing w:lineRule="auto" w:line="240" w:before="0" w:after="0"/>
        <w:ind w:hanging="0" w:left="0" w:right="0"/>
        <w:jc w:val="both"/>
        <w:rPr>
          <w:b w:val="false"/>
          <w:i w:val="false"/>
          <w:i w:val="false"/>
        </w:rPr>
      </w:pPr>
      <w:r>
        <w:rPr>
          <w:b w:val="false"/>
          <w:i w:val="false"/>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 xml:space="preserve">La Candidatura permitirá igualmente reforzar la relación entre la ciudad y su entorno rural, poniendo en valor el viñedo tanto como espacio productivo como parte esencial del paisaje cultural de Jerez. </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Heading2"/>
        <w:widowControl/>
        <w:spacing w:lineRule="auto" w:line="240" w:before="0" w:after="0"/>
        <w:ind w:hanging="0" w:left="0" w:right="0"/>
        <w:jc w:val="both"/>
        <w:rPr>
          <w:rFonts w:ascii="Arial Narrow" w:hAnsi="Arial Narrow"/>
          <w:b/>
          <w:bCs/>
          <w:i w:val="false"/>
          <w:i w:val="false"/>
          <w:caps w:val="false"/>
          <w:smallCaps w:val="false"/>
          <w:spacing w:val="0"/>
          <w:sz w:val="26"/>
          <w:szCs w:val="26"/>
        </w:rPr>
      </w:pPr>
      <w:r>
        <w:rPr>
          <w:rFonts w:ascii="Arial Narrow" w:hAnsi="Arial Narrow"/>
          <w:b/>
          <w:bCs/>
          <w:i w:val="false"/>
          <w:caps w:val="false"/>
          <w:smallCaps w:val="false"/>
          <w:spacing w:val="0"/>
          <w:sz w:val="26"/>
          <w:szCs w:val="26"/>
        </w:rPr>
        <w:t>Una candidatura con vocación de futuro</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Otro de los objetivos destacados será utilizar la Candidatura como herramienta para reforzar la coordinación entre el Ayuntamiento, las instituciones representativas de</w:t>
      </w:r>
      <w:r>
        <w:rPr>
          <w:rFonts w:ascii="Arial Narrow" w:hAnsi="Arial Narrow"/>
          <w:b w:val="false"/>
          <w:i w:val="false"/>
          <w:caps w:val="false"/>
          <w:smallCaps w:val="false"/>
          <w:spacing w:val="0"/>
          <w:sz w:val="26"/>
          <w:szCs w:val="26"/>
        </w:rPr>
        <w:t>l vino,</w:t>
      </w:r>
      <w:r>
        <w:rPr>
          <w:rFonts w:ascii="Arial Narrow" w:hAnsi="Arial Narrow"/>
          <w:b w:val="false"/>
          <w:i w:val="false"/>
          <w:caps w:val="false"/>
          <w:smallCaps w:val="false"/>
          <w:spacing w:val="0"/>
          <w:sz w:val="26"/>
          <w:szCs w:val="26"/>
        </w:rPr>
        <w:t xml:space="preserve"> las bodegas, las empresas turísticas, la hostelería, el comercio y las entidades culturales y sociales. Una colaboración que permitirá diseñar nuevos productos, experiencias y actividades vinculadas  que puedan incorporarse de forma estable a la oferta turística de Jerez.</w:t>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spacing w:val="0"/>
          <w:sz w:val="26"/>
          <w:szCs w:val="26"/>
        </w:rPr>
      </w:pPr>
      <w:r>
        <w:rPr>
          <w:rFonts w:ascii="Arial Narrow" w:hAnsi="Arial Narrow"/>
          <w:b w:val="false"/>
          <w:i w:val="false"/>
          <w:caps w:val="false"/>
          <w:smallCaps w:val="false"/>
          <w:spacing w:val="0"/>
          <w:sz w:val="26"/>
          <w:szCs w:val="26"/>
        </w:rPr>
        <w:t xml:space="preserve">En este sentido, la alcaldesa ha incidido en que “el objetivo no es celebrar únicamente una programación para 2027, sino aprovechar esta oportunidad que nos brindaría la Capitalidad del Vino para crear proyectos tractores que amplíen la oferta turística de Jerez y continúen generando actividad económica y desarrollo turístico una vez que concluya el año de designación”. </w:t>
      </w:r>
    </w:p>
    <w:p>
      <w:pPr>
        <w:pStyle w:val="BodyText"/>
        <w:spacing w:before="0" w:after="140"/>
        <w:rPr>
          <w:rFonts w:ascii="Arial Narrow" w:hAnsi="Arial Narrow"/>
          <w:sz w:val="26"/>
          <w:szCs w:val="26"/>
        </w:rPr>
      </w:pPr>
      <w:r>
        <w:rPr>
          <w:rFonts w:ascii="Arial Narrow" w:hAnsi="Arial Narrow"/>
          <w:sz w:val="26"/>
          <w:szCs w:val="26"/>
        </w:rPr>
        <w:b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微软雅黑">
    <w:charset w:val="00"/>
    <w:family w:val="roman"/>
    <w:pitch w:val="variable"/>
  </w:font>
  <w:font w:name="OpenSymbol">
    <w:altName w:val="Arial Unicode MS"/>
    <w:charset w:val="00"/>
    <w:family w:val="roman"/>
    <w:pitch w:val="variable"/>
  </w:font>
  <w:font w:name="Consola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Georgia">
    <w:charset w:val="00"/>
    <w:family w:val="roman"/>
    <w:pitch w:val="variable"/>
  </w:font>
  <w:font w:name="Aptos Display">
    <w:charset w:val="00"/>
    <w:family w:val="swiss"/>
    <w:pitch w:val="variable"/>
  </w:font>
  <w:font w:name="Arial Narrow">
    <w:charset w:val="00"/>
    <w:family w:val="roman"/>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80"/>
        </w:tabs>
        <w:ind w:left="7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80"/>
        </w:tabs>
        <w:ind w:left="78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Normal1"/>
    <w:next w:val="Normal1"/>
    <w:qFormat/>
    <w:pPr>
      <w:keepNext w:val="true"/>
      <w:spacing w:lineRule="auto" w:line="240" w:before="140" w:after="120"/>
    </w:pPr>
    <w:rPr>
      <w:rFonts w:ascii="Liberation Serif" w:hAnsi="Liberation Serif" w:eastAsia="Liberation Serif" w:cs="Liberation Serif"/>
      <w:b/>
      <w:bCs/>
      <w:sz w:val="28"/>
      <w:szCs w:val="28"/>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Heading7">
    <w:name w:val="Heading 7"/>
    <w:basedOn w:val="Normal"/>
    <w:next w:val="BodyText"/>
    <w:qFormat/>
    <w:pPr>
      <w:numPr>
        <w:ilvl w:val="0"/>
        <w:numId w:val="0"/>
      </w:numPr>
      <w:spacing w:before="40" w:after="0"/>
      <w:outlineLvl w:val="6"/>
    </w:pPr>
    <w:rPr>
      <w:rFonts w:ascii="微软雅黑" w:hAnsi="微软雅黑" w:eastAsia="Arial" w:cs="微软雅黑"/>
      <w:color w:themeColor="text1" w:val="000000"/>
    </w:rPr>
  </w:style>
  <w:style w:type="paragraph" w:styleId="Heading8">
    <w:name w:val="Heading 8"/>
    <w:basedOn w:val="Normal"/>
    <w:next w:val="BodyText"/>
    <w:qFormat/>
    <w:pPr>
      <w:numPr>
        <w:ilvl w:val="0"/>
        <w:numId w:val="0"/>
      </w:numPr>
      <w:spacing w:before="0" w:after="0"/>
      <w:outlineLvl w:val="7"/>
    </w:pPr>
    <w:rPr>
      <w:rFonts w:eastAsia="Arial" w:cs="DejaVu Sans"/>
      <w:iCs/>
      <w:color w:themeColor="text1" w:val="000000"/>
    </w:rPr>
  </w:style>
  <w:style w:type="paragraph" w:styleId="Heading9">
    <w:name w:val="Heading 9"/>
    <w:basedOn w:val="Normal"/>
    <w:next w:val="BodyText"/>
    <w:qFormat/>
    <w:pPr>
      <w:numPr>
        <w:ilvl w:val="0"/>
        <w:numId w:val="0"/>
      </w:numPr>
      <w:spacing w:before="0" w:after="0"/>
      <w:outlineLvl w:val="8"/>
    </w:pPr>
    <w:rPr>
      <w:rFonts w:eastAsia="Arial" w:cs="DejaVu Sans"/>
      <w:color w:themeColor="dark1" w:themeTint="d8" w:val="272727"/>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character" w:styleId="NormalTok">
    <w:name w:val="NormalTok"/>
    <w:basedOn w:val="VerbatimChar"/>
    <w:qFormat/>
    <w:rPr/>
  </w:style>
  <w:style w:type="character" w:styleId="ErrorTok">
    <w:name w:val="ErrorTok"/>
    <w:basedOn w:val="VerbatimChar"/>
    <w:qFormat/>
    <w:rPr>
      <w:b/>
      <w:color w:val="FF0000"/>
    </w:rPr>
  </w:style>
  <w:style w:type="character" w:styleId="AlertTok">
    <w:name w:val="AlertTok"/>
    <w:basedOn w:val="VerbatimChar"/>
    <w:qFormat/>
    <w:rPr>
      <w:b/>
      <w:color w:val="FF0000"/>
    </w:rPr>
  </w:style>
  <w:style w:type="character" w:styleId="WarningTok">
    <w:name w:val="WarningTok"/>
    <w:basedOn w:val="VerbatimChar"/>
    <w:qFormat/>
    <w:rPr>
      <w:b/>
      <w:i/>
      <w:color w:val="60A0B0"/>
    </w:rPr>
  </w:style>
  <w:style w:type="character" w:styleId="InformationTok">
    <w:name w:val="InformationTok"/>
    <w:basedOn w:val="VerbatimChar"/>
    <w:qFormat/>
    <w:rPr>
      <w:b/>
      <w:i/>
      <w:color w:val="60A0B0"/>
    </w:rPr>
  </w:style>
  <w:style w:type="character" w:styleId="RegionMarkerTok">
    <w:name w:val="RegionMarkerTok"/>
    <w:basedOn w:val="VerbatimChar"/>
    <w:qFormat/>
    <w:rPr/>
  </w:style>
  <w:style w:type="character" w:styleId="AttributeTok">
    <w:name w:val="AttributeTok"/>
    <w:basedOn w:val="VerbatimChar"/>
    <w:qFormat/>
    <w:rPr>
      <w:color w:val="7D9029"/>
    </w:rPr>
  </w:style>
  <w:style w:type="character" w:styleId="PreprocessorTok">
    <w:name w:val="PreprocessorTok"/>
    <w:basedOn w:val="VerbatimChar"/>
    <w:qFormat/>
    <w:rPr>
      <w:color w:val="BC7A00"/>
    </w:rPr>
  </w:style>
  <w:style w:type="character" w:styleId="ExtensionTok">
    <w:name w:val="ExtensionTok"/>
    <w:basedOn w:val="VerbatimChar"/>
    <w:qFormat/>
    <w:rPr/>
  </w:style>
  <w:style w:type="character" w:styleId="BuiltInTok">
    <w:name w:val="BuiltInTok"/>
    <w:basedOn w:val="VerbatimChar"/>
    <w:qFormat/>
    <w:rPr>
      <w:color w:val="008000"/>
    </w:rPr>
  </w:style>
  <w:style w:type="character" w:styleId="OperatorTok">
    <w:name w:val="OperatorTok"/>
    <w:basedOn w:val="VerbatimChar"/>
    <w:qFormat/>
    <w:rPr>
      <w:color w:val="666666"/>
    </w:rPr>
  </w:style>
  <w:style w:type="character" w:styleId="ControlFlowTok">
    <w:name w:val="ControlFlowTok"/>
    <w:basedOn w:val="VerbatimChar"/>
    <w:qFormat/>
    <w:rPr>
      <w:b/>
      <w:color w:val="007020"/>
    </w:rPr>
  </w:style>
  <w:style w:type="character" w:styleId="VariableTok">
    <w:name w:val="VariableTok"/>
    <w:basedOn w:val="VerbatimChar"/>
    <w:qFormat/>
    <w:rPr>
      <w:color w:val="19177C"/>
    </w:rPr>
  </w:style>
  <w:style w:type="character" w:styleId="FunctionTok">
    <w:name w:val="FunctionTok"/>
    <w:basedOn w:val="VerbatimChar"/>
    <w:qFormat/>
    <w:rPr>
      <w:color w:val="06287E"/>
    </w:rPr>
  </w:style>
  <w:style w:type="character" w:styleId="OtherTok">
    <w:name w:val="OtherTok"/>
    <w:basedOn w:val="VerbatimChar"/>
    <w:qFormat/>
    <w:rPr>
      <w:color w:val="007020"/>
    </w:rPr>
  </w:style>
  <w:style w:type="character" w:styleId="CommentVarTok">
    <w:name w:val="CommentVarTok"/>
    <w:basedOn w:val="VerbatimChar"/>
    <w:qFormat/>
    <w:rPr>
      <w:b/>
      <w:i/>
      <w:color w:val="60A0B0"/>
    </w:rPr>
  </w:style>
  <w:style w:type="character" w:styleId="AnnotationTok">
    <w:name w:val="AnnotationTok"/>
    <w:basedOn w:val="VerbatimChar"/>
    <w:qFormat/>
    <w:rPr>
      <w:b/>
      <w:i/>
      <w:color w:val="60A0B0"/>
    </w:rPr>
  </w:style>
  <w:style w:type="character" w:styleId="DocumentationTok">
    <w:name w:val="DocumentationTok"/>
    <w:basedOn w:val="VerbatimChar"/>
    <w:qFormat/>
    <w:rPr>
      <w:i/>
      <w:color w:val="BA2121"/>
    </w:rPr>
  </w:style>
  <w:style w:type="character" w:styleId="CommentTok">
    <w:name w:val="CommentTok"/>
    <w:basedOn w:val="VerbatimChar"/>
    <w:qFormat/>
    <w:rPr>
      <w:i/>
      <w:color w:val="60A0B0"/>
    </w:rPr>
  </w:style>
  <w:style w:type="character" w:styleId="ImportTok">
    <w:name w:val="ImportTok"/>
    <w:basedOn w:val="VerbatimChar"/>
    <w:qFormat/>
    <w:rPr>
      <w:b/>
      <w:color w:val="008000"/>
    </w:rPr>
  </w:style>
  <w:style w:type="character" w:styleId="SpecialStringTok">
    <w:name w:val="SpecialStringTok"/>
    <w:basedOn w:val="VerbatimChar"/>
    <w:qFormat/>
    <w:rPr>
      <w:color w:val="BB6688"/>
    </w:rPr>
  </w:style>
  <w:style w:type="character" w:styleId="VerbatimStringTok">
    <w:name w:val="VerbatimStringTok"/>
    <w:basedOn w:val="VerbatimChar"/>
    <w:qFormat/>
    <w:rPr>
      <w:color w:val="4070A0"/>
    </w:rPr>
  </w:style>
  <w:style w:type="character" w:styleId="StringTok">
    <w:name w:val="StringTok"/>
    <w:basedOn w:val="VerbatimChar"/>
    <w:qFormat/>
    <w:rPr>
      <w:color w:val="4070A0"/>
    </w:rPr>
  </w:style>
  <w:style w:type="character" w:styleId="SpecialCharTok">
    <w:name w:val="SpecialCharTok"/>
    <w:basedOn w:val="VerbatimChar"/>
    <w:qFormat/>
    <w:rPr>
      <w:color w:val="4070A0"/>
    </w:rPr>
  </w:style>
  <w:style w:type="character" w:styleId="CharTok">
    <w:name w:val="CharTok"/>
    <w:basedOn w:val="VerbatimChar"/>
    <w:qFormat/>
    <w:rPr>
      <w:color w:val="4070A0"/>
    </w:rPr>
  </w:style>
  <w:style w:type="character" w:styleId="ConstantTok">
    <w:name w:val="ConstantTok"/>
    <w:basedOn w:val="VerbatimChar"/>
    <w:qFormat/>
    <w:rPr>
      <w:color w:val="880000"/>
    </w:rPr>
  </w:style>
  <w:style w:type="character" w:styleId="FloatTok">
    <w:name w:val="FloatTok"/>
    <w:basedOn w:val="VerbatimChar"/>
    <w:qFormat/>
    <w:rPr>
      <w:color w:val="40A070"/>
    </w:rPr>
  </w:style>
  <w:style w:type="character" w:styleId="BaseNTok">
    <w:name w:val="BaseNTok"/>
    <w:basedOn w:val="VerbatimChar"/>
    <w:qFormat/>
    <w:rPr>
      <w:color w:val="40A070"/>
    </w:rPr>
  </w:style>
  <w:style w:type="character" w:styleId="DecValTok">
    <w:name w:val="DecValTok"/>
    <w:basedOn w:val="VerbatimChar"/>
    <w:qFormat/>
    <w:rPr>
      <w:color w:val="40A070"/>
    </w:rPr>
  </w:style>
  <w:style w:type="character" w:styleId="DataTypeTok">
    <w:name w:val="DataTypeTok"/>
    <w:basedOn w:val="VerbatimChar"/>
    <w:qFormat/>
    <w:rPr>
      <w:color w:val="902000"/>
    </w:rPr>
  </w:style>
  <w:style w:type="character" w:styleId="KeywordTok">
    <w:name w:val="KeywordTok"/>
    <w:basedOn w:val="VerbatimChar"/>
    <w:qFormat/>
    <w:rPr>
      <w:b/>
      <w:color w:val="007020"/>
    </w:rPr>
  </w:style>
  <w:style w:type="character" w:styleId="SectionNumber">
    <w:name w:val="Section Number"/>
    <w:basedOn w:val="Style7"/>
    <w:qFormat/>
    <w:rPr/>
  </w:style>
  <w:style w:type="character" w:styleId="VerbatimChar">
    <w:name w:val="Verbatim Char"/>
    <w:basedOn w:val="Style7"/>
    <w:qFormat/>
    <w:rPr>
      <w:rFonts w:ascii="Consolas" w:hAnsi="Consolas" w:eastAsia="Arial" w:cs="Times New Roman (正文 CS 字体)"/>
      <w:sz w:val="22"/>
      <w:shd w:fill="F2F2F2" w:val="clear"/>
    </w:rPr>
  </w:style>
  <w:style w:type="character" w:styleId="9">
    <w:name w:val="标题 9 字符"/>
    <w:basedOn w:val="DefaultParagraphFont"/>
    <w:qFormat/>
    <w:rPr>
      <w:rFonts w:eastAsia="Arial" w:cs="DejaVu Sans"/>
      <w:color w:themeColor="dark1" w:themeTint="d8" w:val="272727"/>
      <w:sz w:val="24"/>
      <w:szCs w:val="24"/>
      <w:lang w:eastAsia="en-US"/>
    </w:rPr>
  </w:style>
  <w:style w:type="character" w:styleId="8">
    <w:name w:val="标题 8 字符"/>
    <w:basedOn w:val="DefaultParagraphFont"/>
    <w:qFormat/>
    <w:rPr>
      <w:rFonts w:eastAsia="Arial" w:cs="DejaVu Sans"/>
      <w:iCs/>
      <w:color w:themeColor="text1" w:val="000000"/>
      <w:sz w:val="24"/>
      <w:szCs w:val="24"/>
      <w:lang w:eastAsia="en-US"/>
    </w:rPr>
  </w:style>
  <w:style w:type="character" w:styleId="7">
    <w:name w:val="标题 7 字符"/>
    <w:basedOn w:val="DefaultParagraphFont"/>
    <w:qFormat/>
    <w:rPr>
      <w:rFonts w:ascii="微软雅黑" w:hAnsi="微软雅黑" w:eastAsia="Arial" w:cs="微软雅黑"/>
      <w:color w:themeColor="text1" w:val="000000"/>
      <w:sz w:val="24"/>
      <w:szCs w:val="24"/>
      <w:lang w:eastAsia="en-US"/>
    </w:rPr>
  </w:style>
  <w:style w:type="character" w:styleId="6">
    <w:name w:val="标题 6 字符"/>
    <w:basedOn w:val="DefaultParagraphFont"/>
    <w:qFormat/>
    <w:rPr>
      <w:rFonts w:ascii="微软雅黑" w:hAnsi="微软雅黑" w:eastAsia="Arial" w:cs="微软雅黑"/>
      <w:color w:themeColor="text1" w:val="000000"/>
      <w:sz w:val="24"/>
      <w:szCs w:val="24"/>
      <w:lang w:eastAsia="en-US"/>
    </w:rPr>
  </w:style>
  <w:style w:type="character" w:styleId="5">
    <w:name w:val="标题 5 字符"/>
    <w:basedOn w:val="DefaultParagraphFont"/>
    <w:qFormat/>
    <w:rPr>
      <w:rFonts w:ascii="微软雅黑" w:hAnsi="微软雅黑" w:eastAsia="Arial" w:cs="微软雅黑"/>
      <w:color w:themeColor="text1" w:val="000000"/>
      <w:sz w:val="24"/>
      <w:szCs w:val="24"/>
      <w:lang w:eastAsia="en-US"/>
    </w:rPr>
  </w:style>
  <w:style w:type="character" w:styleId="4">
    <w:name w:val="标题 4 字符"/>
    <w:basedOn w:val="DefaultParagraphFont"/>
    <w:qFormat/>
    <w:rPr>
      <w:rFonts w:ascii="Arial" w:hAnsi="Arial" w:eastAsia="Arial" w:cs="Arial"/>
      <w:b/>
      <w:color w:themeColor="text1" w:val="000000"/>
      <w:sz w:val="24"/>
      <w:szCs w:val="24"/>
      <w:lang w:eastAsia="en-US"/>
    </w:rPr>
  </w:style>
  <w:style w:type="character" w:styleId="3">
    <w:name w:val="标题 3 字符"/>
    <w:basedOn w:val="DefaultParagraphFont"/>
    <w:qFormat/>
    <w:rPr>
      <w:rFonts w:ascii="Arial" w:hAnsi="Arial" w:eastAsia="Arial" w:cs="Arial"/>
      <w:b/>
      <w:bCs/>
      <w:color w:themeColor="text1" w:val="000000"/>
      <w:sz w:val="28"/>
      <w:szCs w:val="28"/>
      <w:lang w:eastAsia="en-US"/>
    </w:rPr>
  </w:style>
  <w:style w:type="character" w:styleId="2">
    <w:name w:val="标题 2 字符"/>
    <w:basedOn w:val="DefaultParagraphFont"/>
    <w:qFormat/>
    <w:rPr>
      <w:rFonts w:ascii="Arial" w:hAnsi="Arial" w:eastAsia="Arial" w:cs="Arial"/>
      <w:b/>
      <w:bCs/>
      <w:color w:themeColor="text1" w:val="000000"/>
      <w:sz w:val="32"/>
      <w:szCs w:val="32"/>
      <w:lang w:eastAsia="en-US"/>
    </w:rPr>
  </w:style>
  <w:style w:type="character" w:styleId="1">
    <w:name w:val="标题 1 字符"/>
    <w:basedOn w:val="DefaultParagraphFont"/>
    <w:qFormat/>
    <w:rPr>
      <w:rFonts w:ascii="Arial" w:hAnsi="Arial" w:eastAsia="Arial" w:cs="Arial"/>
      <w:b/>
      <w:bCs/>
      <w:color w:themeColor="text1" w:val="000000"/>
      <w:sz w:val="44"/>
      <w:szCs w:val="40"/>
      <w:lang w:eastAsia="en-US"/>
    </w:rPr>
  </w:style>
  <w:style w:type="character" w:styleId="Style5">
    <w:name w:val="副标题 字符"/>
    <w:basedOn w:val="DefaultParagraphFont"/>
    <w:qFormat/>
    <w:rPr>
      <w:rFonts w:eastAsia="等线 Light" w:cs="DejaVu Sans"/>
      <w:color w:themeColor="dark1" w:themeTint="a6" w:val="595959"/>
      <w:spacing w:val="15"/>
      <w:sz w:val="28"/>
      <w:szCs w:val="28"/>
    </w:rPr>
  </w:style>
  <w:style w:type="character" w:styleId="Style6">
    <w:name w:val="标题 字符"/>
    <w:basedOn w:val="DefaultParagraphFont"/>
    <w:qFormat/>
    <w:rPr>
      <w:rFonts w:ascii="Arial" w:hAnsi="Arial" w:eastAsia="Arial" w:cs="Arial"/>
      <w:spacing w:val="-10"/>
      <w:kern w:val="2"/>
      <w:sz w:val="56"/>
      <w:szCs w:val="56"/>
    </w:rPr>
  </w:style>
  <w:style w:type="character" w:styleId="Caracteresdenotaalpie">
    <w:name w:val="Caracteres de nota al pie"/>
    <w:basedOn w:val="Style7"/>
    <w:qFormat/>
    <w:rPr>
      <w:vertAlign w:val="superscript"/>
    </w:rPr>
  </w:style>
  <w:style w:type="character" w:styleId="FootnoteReference">
    <w:name w:val="Footnote Reference"/>
    <w:rPr>
      <w:vertAlign w:val="superscript"/>
    </w:rPr>
  </w:style>
  <w:style w:type="character" w:styleId="Style7">
    <w:name w:val="题注 字符"/>
    <w:basedOn w:val="DefaultParagraphFont"/>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P1">
    <w:name w:val="p1"/>
    <w:basedOn w:val="Normal"/>
    <w:qFormat/>
    <w:pPr/>
    <w:rPr>
      <w:rFonts w:ascii="Arial" w:hAnsi="Arial" w:eastAsia="Times New Roman" w:cs="Arial"/>
      <w:color w:val="00000A"/>
      <w:sz w:val="14"/>
      <w:szCs w:val="14"/>
      <w:lang w:eastAsia="es-ES_tradnl"/>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Normal1">
    <w:name w:val="normal1"/>
    <w:qFormat/>
    <w:pPr>
      <w:widowControl/>
      <w:suppressAutoHyphens w:val="true"/>
      <w:bidi w:val="0"/>
      <w:spacing w:before="0" w:after="0"/>
      <w:jc w:val="left"/>
    </w:pPr>
    <w:rPr>
      <w:rFonts w:ascii="Times New Roman" w:hAnsi="Times New Roman" w:eastAsia="NSimSun" w:cs="Arial"/>
      <w:color w:val="auto"/>
      <w:kern w:val="0"/>
      <w:sz w:val="20"/>
      <w:szCs w:val="20"/>
      <w:lang w:val="es-ES" w:eastAsia="zh-CN" w:bidi="hi-IN"/>
    </w:rPr>
  </w:style>
  <w:style w:type="paragraph" w:styleId="SourceCode">
    <w:name w:val="Source Code"/>
    <w:qFormat/>
    <w:pPr>
      <w:widowControl/>
      <w:shd w:val="clear" w:fill="F2F2F2"/>
      <w:suppressAutoHyphens w:val="true"/>
      <w:bidi w:val="0"/>
      <w:spacing w:before="100" w:after="100"/>
      <w:jc w:val="left"/>
    </w:pPr>
    <w:rPr>
      <w:rFonts w:ascii="Consolas" w:hAnsi="Consolas" w:eastAsia="Arial" w:cs="Times New Roman (正文 CS 字体)" w:eastAsiaTheme="minorHAnsi"/>
      <w:color w:val="auto"/>
      <w:kern w:val="0"/>
      <w:sz w:val="22"/>
      <w:szCs w:val="24"/>
      <w:lang w:val="es-ES" w:eastAsia="en-US" w:bidi="ar-SA"/>
    </w:rPr>
  </w:style>
  <w:style w:type="paragraph" w:styleId="TOC1">
    <w:name w:val="TOC 标题1"/>
    <w:basedOn w:val="Heading1"/>
    <w:next w:val="BodyText"/>
    <w:qFormat/>
    <w:pPr>
      <w:spacing w:lineRule="auto" w:line="259" w:before="240" w:after="80"/>
      <w:outlineLvl w:val="9"/>
    </w:pPr>
    <w:rPr>
      <w:rFonts w:ascii="Aptos Display" w:hAnsi="Aptos Display" w:eastAsia="等线 Light" w:cs="DejaVu Sans"/>
      <w:color w:themeColor="accent1" w:themeShade="bf" w:val="0F4761"/>
    </w:rPr>
  </w:style>
  <w:style w:type="paragraph" w:styleId="CaptionedFigure">
    <w:name w:val="Captioned Figure"/>
    <w:basedOn w:val="Figura"/>
    <w:qFormat/>
    <w:pPr>
      <w:keepNext w:val="true"/>
    </w:pPr>
    <w:rPr/>
  </w:style>
  <w:style w:type="paragraph" w:styleId="Figura">
    <w:name w:val="Figura"/>
    <w:basedOn w:val="Normal"/>
    <w:qFormat/>
    <w:pPr/>
    <w:rPr/>
  </w:style>
  <w:style w:type="paragraph" w:styleId="ImageCaption">
    <w:name w:val="Image Caption"/>
    <w:basedOn w:val="Caption2"/>
    <w:qFormat/>
    <w:pPr/>
    <w:rPr/>
  </w:style>
  <w:style w:type="paragraph" w:styleId="TableCaption">
    <w:name w:val="Table Caption"/>
    <w:basedOn w:val="Caption2"/>
    <w:qFormat/>
    <w:pPr/>
    <w:rPr/>
  </w:style>
  <w:style w:type="paragraph" w:styleId="Definition">
    <w:name w:val="Definition"/>
    <w:basedOn w:val="Normal"/>
    <w:qFormat/>
    <w:pPr/>
    <w:rPr>
      <w:color w:themeColor="text1" w:val="000000"/>
    </w:rPr>
  </w:style>
  <w:style w:type="paragraph" w:styleId="DefinitionTerm">
    <w:name w:val="Definition Term"/>
    <w:basedOn w:val="Normal"/>
    <w:next w:val="Definition"/>
    <w:qFormat/>
    <w:pPr>
      <w:spacing w:before="0" w:after="0"/>
    </w:pPr>
    <w:rPr>
      <w:rFonts w:eastAsia="Arial"/>
    </w:rPr>
  </w:style>
  <w:style w:type="paragraph" w:styleId="FootnoteBlockText">
    <w:name w:val="Footnote Block Text"/>
    <w:basedOn w:val="FootnoteText"/>
    <w:next w:val="FootnoteText"/>
    <w:qFormat/>
    <w:pPr>
      <w:spacing w:before="100" w:after="100"/>
      <w:ind w:left="480" w:right="480"/>
    </w:pPr>
    <w:rPr/>
  </w:style>
  <w:style w:type="paragraph" w:styleId="FootnoteText">
    <w:name w:val="Footnote Text"/>
    <w:basedOn w:val="Normal"/>
    <w:pPr/>
    <w:rPr/>
  </w:style>
  <w:style w:type="paragraph" w:styleId="11">
    <w:name w:val="书目1"/>
    <w:basedOn w:val="Normal"/>
    <w:qFormat/>
    <w:pPr/>
    <w:rPr/>
  </w:style>
  <w:style w:type="paragraph" w:styleId="Abstract">
    <w:name w:val="Abstract"/>
    <w:basedOn w:val="Normal"/>
    <w:next w:val="BodyText"/>
    <w:qFormat/>
    <w:pPr>
      <w:spacing w:before="100" w:after="300"/>
    </w:pPr>
    <w:rPr>
      <w:rFonts w:eastAsia="Arial"/>
      <w:sz w:val="20"/>
      <w:szCs w:val="20"/>
    </w:rPr>
  </w:style>
  <w:style w:type="paragraph" w:styleId="AbstractTitle">
    <w:name w:val="Abstract Title"/>
    <w:basedOn w:val="Normal"/>
    <w:next w:val="Abstract"/>
    <w:qFormat/>
    <w:pPr>
      <w:keepNext w:val="true"/>
      <w:keepLines/>
      <w:spacing w:before="300" w:after="0"/>
      <w:jc w:val="center"/>
    </w:pPr>
    <w:rPr>
      <w:b/>
      <w:sz w:val="20"/>
      <w:szCs w:val="20"/>
    </w:rPr>
  </w:style>
  <w:style w:type="paragraph" w:styleId="Author">
    <w:name w:val="Author"/>
    <w:next w:val="BodyText"/>
    <w:qFormat/>
    <w:pPr>
      <w:widowControl/>
      <w:suppressAutoHyphens w:val="true"/>
      <w:bidi w:val="0"/>
      <w:spacing w:before="0" w:after="200"/>
      <w:jc w:val="center"/>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Date">
    <w:name w:val="Date"/>
    <w:next w:val="BodyText"/>
    <w:qFormat/>
    <w:pPr>
      <w:widowControl/>
      <w:suppressAutoHyphens w:val="true"/>
      <w:bidi w:val="0"/>
      <w:spacing w:before="0" w:after="200"/>
      <w:jc w:val="center"/>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ListBullet2">
    <w:name w:val="List Bullet 2"/>
    <w:basedOn w:val="Normal"/>
    <w:pPr>
      <w:numPr>
        <w:ilvl w:val="0"/>
        <w:numId w:val="4"/>
      </w:numPr>
      <w:spacing w:lineRule="auto" w:line="360" w:before="120" w:after="200"/>
      <w:ind w:hanging="200" w:left="400"/>
      <w:contextualSpacing/>
    </w:pPr>
    <w:rPr>
      <w:rFonts w:ascii="Arial" w:hAnsi="Arial" w:eastAsia="Arial" w:cs="Arial"/>
    </w:rPr>
  </w:style>
  <w:style w:type="paragraph" w:styleId="ListBullet">
    <w:name w:val="List Bullet"/>
    <w:basedOn w:val="Normal"/>
    <w:pPr>
      <w:numPr>
        <w:ilvl w:val="0"/>
        <w:numId w:val="3"/>
      </w:numPr>
      <w:spacing w:lineRule="auto" w:line="360" w:before="200" w:after="200"/>
      <w:ind w:hanging="200" w:left="200"/>
      <w:contextualSpacing/>
    </w:pPr>
    <w:rPr>
      <w:rFonts w:ascii="Arial" w:hAnsi="Arial" w:eastAsia="Arial" w:cs="Arial"/>
      <w:b/>
      <w:bCs/>
    </w:rPr>
  </w:style>
  <w:style w:type="paragraph" w:styleId="Caption2">
    <w:name w:val="caption2"/>
    <w:basedOn w:val="Normal"/>
    <w:qFormat/>
    <w:pPr>
      <w:spacing w:before="0" w:after="120"/>
    </w:pPr>
    <w:rPr>
      <w:i/>
    </w:rPr>
  </w:style>
  <w:style w:type="paragraph" w:styleId="ListNumber">
    <w:name w:val="List Number"/>
    <w:basedOn w:val="Normal"/>
    <w:pPr>
      <w:numPr>
        <w:ilvl w:val="0"/>
        <w:numId w:val="2"/>
      </w:numPr>
      <w:spacing w:lineRule="auto" w:line="360" w:before="0" w:after="200"/>
      <w:contextualSpacing/>
    </w:pPr>
    <w:rPr>
      <w:rFonts w:ascii="Arial" w:hAnsi="Arial" w:eastAsia="Arial" w:cs="Arial"/>
      <w:b/>
      <w:bCs/>
    </w:rPr>
  </w:style>
  <w:style w:type="paragraph" w:styleId="ListNumber2">
    <w:name w:val="List Number 2"/>
    <w:basedOn w:val="Normal"/>
    <w:pPr>
      <w:numPr>
        <w:ilvl w:val="0"/>
        <w:numId w:val="1"/>
      </w:numPr>
      <w:spacing w:before="0" w:after="200"/>
      <w:contextualSpacing/>
    </w:pPr>
    <w:rPr>
      <w:rFonts w:ascii="Arial" w:hAnsi="Arial" w:eastAsia="Arial" w:cs="Arial"/>
    </w:rPr>
  </w:style>
  <w:style w:type="paragraph" w:styleId="Caption11111">
    <w:name w:val="caption11111"/>
    <w:basedOn w:val="Normal"/>
    <w:qFormat/>
    <w:pPr>
      <w:suppressLineNumbers/>
      <w:spacing w:before="120" w:after="120"/>
    </w:pPr>
    <w:rPr>
      <w:i/>
      <w:iCs/>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407</TotalTime>
  <Application>LibreOffice/7.6.7.2$Windows_X86_64 LibreOffice_project/dd47e4b30cb7dab30588d6c79c651f218165e3c5</Application>
  <AppVersion>15.0000</AppVersion>
  <Pages>3</Pages>
  <Words>929</Words>
  <Characters>5322</Characters>
  <CharactersWithSpaces>6243</CharactersWithSpaces>
  <Paragraphs>17</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2008-04-18T08:06:00Z</dcterms:created>
  <dc:creator>JESYTEL S.A.</dc:creator>
  <dc:description/>
  <dc:language>es-ES</dc:language>
  <cp:lastModifiedBy/>
  <cp:lastPrinted>2026-09-04T11:59:47Z</cp:lastPrinted>
  <dcterms:modified xsi:type="dcterms:W3CDTF">2026-09-04T12:49:00Z</dcterms:modified>
  <cp:revision>74</cp:revision>
  <dc:subject/>
  <dc:title>ORDEN DEL DIA</dc:title>
</cp:coreProperties>
</file>

<file path=docProps/custom.xml><?xml version="1.0" encoding="utf-8"?>
<Properties xmlns="http://schemas.openxmlformats.org/officeDocument/2006/custom-properties" xmlns:vt="http://schemas.openxmlformats.org/officeDocument/2006/docPropsVTypes"/>
</file>